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rPr>
        <w:t>四平辽河农垦管理区管理委员会</w:t>
      </w:r>
      <w:r>
        <w:rPr>
          <w:rFonts w:ascii="宋体" w:hAnsi="宋体"/>
          <w:b/>
          <w:sz w:val="72"/>
          <w:szCs w:val="72"/>
        </w:rPr>
        <w:t>20</w:t>
      </w:r>
      <w:r>
        <w:rPr>
          <w:rFonts w:hint="eastAsia" w:ascii="宋体" w:hAnsi="宋体"/>
          <w:b/>
          <w:sz w:val="72"/>
          <w:szCs w:val="72"/>
        </w:rPr>
        <w:t>2</w:t>
      </w:r>
      <w:r>
        <w:rPr>
          <w:rFonts w:ascii="宋体" w:hAnsi="宋体"/>
          <w:b/>
          <w:sz w:val="72"/>
          <w:szCs w:val="72"/>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二〇二一年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sz w:val="32"/>
          <w:szCs w:val="32"/>
        </w:rPr>
      </w:pPr>
      <w:r>
        <w:rPr>
          <w:rFonts w:hint="eastAsia"/>
          <w:sz w:val="32"/>
          <w:szCs w:val="32"/>
        </w:rPr>
        <w:t>一般公共预算财政拨款部门经济分类支出预算表</w:t>
      </w:r>
    </w:p>
    <w:p>
      <w:pPr>
        <w:pStyle w:val="8"/>
        <w:numPr>
          <w:ilvl w:val="0"/>
          <w:numId w:val="2"/>
        </w:numPr>
        <w:ind w:firstLineChars="0"/>
        <w:jc w:val="left"/>
        <w:rPr>
          <w:sz w:val="32"/>
          <w:szCs w:val="32"/>
        </w:rPr>
      </w:pPr>
      <w:r>
        <w:rPr>
          <w:rFonts w:hint="eastAsia"/>
          <w:sz w:val="32"/>
          <w:szCs w:val="32"/>
        </w:rPr>
        <w:t>一般公共预算财政拨款政府经济分类支出预算表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left="630" w:firstLine="320" w:firstLineChars="100"/>
        <w:rPr>
          <w:color w:val="000000"/>
          <w:sz w:val="32"/>
          <w:szCs w:val="32"/>
        </w:rPr>
      </w:pPr>
      <w:r>
        <w:rPr>
          <w:rFonts w:hint="eastAsia"/>
          <w:color w:val="000000"/>
          <w:sz w:val="32"/>
          <w:szCs w:val="32"/>
        </w:rPr>
        <w:t>1、贯彻执行党和国家及省、市、县的方针政策、法律法规，制定区域内发展规划和各项计划并组织实施。</w:t>
      </w:r>
    </w:p>
    <w:p>
      <w:pPr>
        <w:ind w:left="630" w:firstLine="320" w:firstLineChars="100"/>
        <w:rPr>
          <w:color w:val="000000"/>
          <w:sz w:val="32"/>
          <w:szCs w:val="32"/>
        </w:rPr>
      </w:pPr>
      <w:r>
        <w:rPr>
          <w:rFonts w:hint="eastAsia"/>
          <w:color w:val="000000"/>
          <w:sz w:val="32"/>
          <w:szCs w:val="32"/>
        </w:rPr>
        <w:t>2、依据政府主管部门的总体规划，依法编制区域内建设规划，并组织实施。</w:t>
      </w:r>
    </w:p>
    <w:p>
      <w:pPr>
        <w:ind w:left="630" w:firstLine="320" w:firstLineChars="100"/>
        <w:rPr>
          <w:color w:val="000000"/>
          <w:sz w:val="32"/>
          <w:szCs w:val="32"/>
        </w:rPr>
      </w:pPr>
      <w:r>
        <w:rPr>
          <w:rFonts w:hint="eastAsia"/>
          <w:color w:val="000000"/>
          <w:sz w:val="32"/>
          <w:szCs w:val="32"/>
        </w:rPr>
        <w:t>3、制定区域内招商引资政策，编制招商规划，发布对外招商项目；组织对外招商活动，依法管理区域内的进出口业务和对外经济技术合作。</w:t>
      </w:r>
    </w:p>
    <w:p>
      <w:pPr>
        <w:ind w:firstLine="800" w:firstLineChars="250"/>
        <w:rPr>
          <w:color w:val="000000"/>
          <w:sz w:val="32"/>
          <w:szCs w:val="32"/>
        </w:rPr>
      </w:pPr>
      <w:r>
        <w:rPr>
          <w:rFonts w:hint="eastAsia"/>
          <w:color w:val="000000"/>
          <w:sz w:val="32"/>
          <w:szCs w:val="32"/>
        </w:rPr>
        <w:t>4、按照权限规定审核或申报区域内创汇企业、高新技术企业、技术先进型企业，协助区内企业办理各项行政审批事项。</w:t>
      </w:r>
    </w:p>
    <w:p>
      <w:pPr>
        <w:ind w:firstLine="640" w:firstLineChars="200"/>
        <w:rPr>
          <w:color w:val="000000"/>
          <w:sz w:val="32"/>
          <w:szCs w:val="32"/>
        </w:rPr>
      </w:pPr>
      <w:r>
        <w:rPr>
          <w:rFonts w:hint="eastAsia"/>
          <w:color w:val="000000"/>
          <w:sz w:val="32"/>
          <w:szCs w:val="32"/>
        </w:rPr>
        <w:t>5、负责区域内各项基础设施、公用设施和其他建设项目的建设、监督和管理。</w:t>
      </w:r>
    </w:p>
    <w:p>
      <w:pPr>
        <w:ind w:firstLine="640" w:firstLineChars="200"/>
        <w:rPr>
          <w:color w:val="000000"/>
          <w:sz w:val="32"/>
          <w:szCs w:val="32"/>
        </w:rPr>
      </w:pPr>
      <w:r>
        <w:rPr>
          <w:rFonts w:hint="eastAsia"/>
          <w:color w:val="000000"/>
          <w:sz w:val="32"/>
          <w:szCs w:val="32"/>
        </w:rPr>
        <w:t>6、贯彻执行国家土地管理法律法规，受四平市、梨树县人民政府委托，承办土地管理的前期具体事务性工作。</w:t>
      </w:r>
    </w:p>
    <w:p>
      <w:pPr>
        <w:ind w:firstLine="640" w:firstLineChars="200"/>
        <w:rPr>
          <w:color w:val="000000"/>
          <w:sz w:val="32"/>
          <w:szCs w:val="32"/>
        </w:rPr>
      </w:pPr>
      <w:r>
        <w:rPr>
          <w:rFonts w:hint="eastAsia"/>
          <w:color w:val="000000"/>
          <w:sz w:val="32"/>
          <w:szCs w:val="32"/>
        </w:rPr>
        <w:t>7、负责区域内党员干部和所属单位领导班子的思想、组织、作风建设工作；按照管理权限，做好干部的任免奖惩、培养、教育和</w:t>
      </w:r>
      <w:r>
        <w:rPr>
          <w:rFonts w:hint="eastAsia"/>
          <w:color w:val="000000"/>
          <w:sz w:val="32"/>
          <w:szCs w:val="32"/>
          <w:lang w:val="en-US" w:eastAsia="zh-CN"/>
        </w:rPr>
        <w:t>选拔</w:t>
      </w:r>
      <w:bookmarkStart w:id="0" w:name="_GoBack"/>
      <w:bookmarkEnd w:id="0"/>
      <w:r>
        <w:rPr>
          <w:rFonts w:hint="eastAsia"/>
          <w:color w:val="000000"/>
          <w:sz w:val="32"/>
          <w:szCs w:val="32"/>
        </w:rPr>
        <w:t>等工作。</w:t>
      </w:r>
    </w:p>
    <w:p>
      <w:pPr>
        <w:ind w:firstLine="640" w:firstLineChars="200"/>
        <w:rPr>
          <w:color w:val="000000"/>
          <w:sz w:val="32"/>
          <w:szCs w:val="32"/>
        </w:rPr>
      </w:pPr>
      <w:r>
        <w:rPr>
          <w:rFonts w:hint="eastAsia"/>
          <w:color w:val="000000"/>
          <w:sz w:val="32"/>
          <w:szCs w:val="32"/>
        </w:rPr>
        <w:t>8、研究和处理区域内重大突发性事件，并及时向党委、政府报告情况。</w:t>
      </w:r>
    </w:p>
    <w:p>
      <w:pPr>
        <w:numPr>
          <w:ilvl w:val="1"/>
          <w:numId w:val="1"/>
        </w:numPr>
        <w:rPr>
          <w:color w:val="000000"/>
          <w:sz w:val="32"/>
          <w:szCs w:val="32"/>
        </w:rPr>
      </w:pPr>
      <w:r>
        <w:rPr>
          <w:rFonts w:hint="eastAsia"/>
          <w:color w:val="000000"/>
          <w:sz w:val="32"/>
          <w:szCs w:val="32"/>
        </w:rPr>
        <w:t>依法管理区域内的财政、国有资产、安全生产等工作。</w:t>
      </w:r>
    </w:p>
    <w:p>
      <w:pPr>
        <w:numPr>
          <w:ilvl w:val="1"/>
          <w:numId w:val="1"/>
        </w:numPr>
        <w:rPr>
          <w:color w:val="000000"/>
          <w:sz w:val="32"/>
          <w:szCs w:val="32"/>
        </w:rPr>
      </w:pPr>
      <w:r>
        <w:rPr>
          <w:rFonts w:hint="eastAsia"/>
          <w:color w:val="000000"/>
          <w:sz w:val="32"/>
          <w:szCs w:val="32"/>
        </w:rPr>
        <w:t>指导、协调有关部门设在区域内的派出机构、分支机构。</w:t>
      </w:r>
    </w:p>
    <w:p>
      <w:pPr>
        <w:numPr>
          <w:ilvl w:val="1"/>
          <w:numId w:val="1"/>
        </w:numPr>
        <w:rPr>
          <w:color w:val="000000"/>
          <w:sz w:val="32"/>
          <w:szCs w:val="32"/>
        </w:rPr>
      </w:pPr>
      <w:r>
        <w:rPr>
          <w:rFonts w:hint="eastAsia"/>
          <w:color w:val="000000"/>
          <w:sz w:val="32"/>
          <w:szCs w:val="32"/>
        </w:rPr>
        <w:t>保障企业依法自主经营和职工的合法权益。</w:t>
      </w:r>
    </w:p>
    <w:p>
      <w:pPr>
        <w:numPr>
          <w:ilvl w:val="1"/>
          <w:numId w:val="1"/>
        </w:numPr>
        <w:rPr>
          <w:color w:val="000000"/>
          <w:sz w:val="32"/>
          <w:szCs w:val="32"/>
        </w:rPr>
      </w:pPr>
      <w:r>
        <w:rPr>
          <w:rFonts w:hint="eastAsia"/>
          <w:color w:val="000000"/>
          <w:sz w:val="32"/>
          <w:szCs w:val="32"/>
        </w:rPr>
        <w:t>承办上级交办的其他事项。</w:t>
      </w:r>
    </w:p>
    <w:p>
      <w:pPr>
        <w:ind w:left="160" w:firstLine="320" w:firstLineChars="100"/>
        <w:rPr>
          <w:color w:val="000000"/>
          <w:sz w:val="32"/>
          <w:szCs w:val="32"/>
        </w:rPr>
      </w:pPr>
      <w:r>
        <w:rPr>
          <w:rFonts w:hint="eastAsia"/>
          <w:color w:val="000000"/>
          <w:sz w:val="32"/>
          <w:szCs w:val="32"/>
        </w:rPr>
        <w:t>13、行使四平市、梨树县人民政府授予的其他职权。</w:t>
      </w:r>
    </w:p>
    <w:p>
      <w:pPr>
        <w:rPr>
          <w:sz w:val="32"/>
          <w:szCs w:val="32"/>
        </w:rPr>
      </w:pPr>
      <w:r>
        <w:rPr>
          <w:sz w:val="32"/>
          <w:szCs w:val="32"/>
        </w:rPr>
        <w:t xml:space="preserve">    </w:t>
      </w:r>
      <w:r>
        <w:rPr>
          <w:rFonts w:hint="eastAsia"/>
          <w:sz w:val="32"/>
          <w:szCs w:val="32"/>
        </w:rPr>
        <w:t>二、机构设置</w:t>
      </w:r>
      <w:r>
        <w:t xml:space="preserve">    </w:t>
      </w:r>
    </w:p>
    <w:p>
      <w:pPr>
        <w:tabs>
          <w:tab w:val="left" w:pos="1200"/>
        </w:tabs>
        <w:ind w:firstLine="660"/>
        <w:jc w:val="left"/>
        <w:rPr>
          <w:rFonts w:ascii="宋体"/>
          <w:sz w:val="32"/>
          <w:szCs w:val="32"/>
        </w:rPr>
      </w:pPr>
      <w:r>
        <w:rPr>
          <w:rFonts w:hint="eastAsia" w:ascii="宋体"/>
          <w:sz w:val="32"/>
          <w:szCs w:val="32"/>
        </w:rPr>
        <w:t>根据上述职责，四平辽河农垦管理区管理委员会内设10个机构，</w:t>
      </w:r>
      <w:r>
        <w:rPr>
          <w:rFonts w:ascii="宋体"/>
          <w:sz w:val="32"/>
          <w:szCs w:val="32"/>
        </w:rPr>
        <w:t>分别为</w:t>
      </w:r>
      <w:r>
        <w:rPr>
          <w:rFonts w:hint="eastAsia" w:ascii="宋体"/>
          <w:sz w:val="32"/>
          <w:szCs w:val="32"/>
        </w:rPr>
        <w:t>：党政办公室、投资促进局、项目服务局（规划建设局）、企业服务局、经济发展局（项目中心）、招商局、财政审计局、安全生产监督管理局、园区建设管理局、督查考评办公室，下设 0家预算单位。</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一、2021年收支预算总体情况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公共安全支出、教育支出、科学技术支出、文化旅游体育与传媒支出、社会保障和就业支出、卫生健康支出、节能环保支出、城乡社区支出、农林水支出、交通运输支出、资源勘探信息等支出、商业服务业等支出、自然资源海洋气象等支出、住房保障支出、灾害防治及应急管理支出、结转下年支出等。2021年收支总预算 2335万元，比2021年预算减少171万元，主要原因是人员调出工资支出减少</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二、2021年收入预算情况</w:t>
      </w:r>
    </w:p>
    <w:p>
      <w:pPr>
        <w:tabs>
          <w:tab w:val="left" w:pos="1200"/>
          <w:tab w:val="right" w:pos="8306"/>
        </w:tabs>
        <w:ind w:firstLine="630"/>
        <w:jc w:val="left"/>
        <w:rPr>
          <w:rFonts w:ascii="宋体"/>
          <w:sz w:val="32"/>
          <w:szCs w:val="32"/>
        </w:rPr>
      </w:pPr>
      <w:r>
        <w:rPr>
          <w:rFonts w:hint="eastAsia" w:ascii="宋体"/>
          <w:sz w:val="32"/>
          <w:szCs w:val="32"/>
        </w:rPr>
        <w:t>2021年收入预算2335万元，其中：本年收入2335万元，占100%。本年收入中，一般公共预算拨款收入2335万元，占100%。</w:t>
      </w:r>
    </w:p>
    <w:p>
      <w:pPr>
        <w:tabs>
          <w:tab w:val="left" w:pos="1200"/>
          <w:tab w:val="right" w:pos="8306"/>
        </w:tabs>
        <w:ind w:firstLine="630"/>
        <w:jc w:val="left"/>
        <w:rPr>
          <w:rFonts w:ascii="宋体"/>
          <w:sz w:val="32"/>
          <w:szCs w:val="32"/>
        </w:rPr>
      </w:pPr>
      <w:r>
        <w:rPr>
          <w:rFonts w:hint="eastAsia" w:ascii="宋体"/>
          <w:sz w:val="32"/>
          <w:szCs w:val="32"/>
        </w:rPr>
        <w:t>三、2021年支出预算情况</w:t>
      </w:r>
    </w:p>
    <w:p>
      <w:pPr>
        <w:tabs>
          <w:tab w:val="left" w:pos="1200"/>
          <w:tab w:val="right" w:pos="8306"/>
        </w:tabs>
        <w:ind w:firstLine="630"/>
        <w:jc w:val="left"/>
        <w:rPr>
          <w:rFonts w:ascii="宋体"/>
          <w:sz w:val="32"/>
          <w:szCs w:val="32"/>
        </w:rPr>
      </w:pPr>
      <w:r>
        <w:rPr>
          <w:rFonts w:hint="eastAsia" w:ascii="宋体"/>
          <w:sz w:val="32"/>
          <w:szCs w:val="32"/>
        </w:rPr>
        <w:t>2021年支出预算2335 万元，其中：基本支出2335     万元，占100 %；项目支出0万元，占 0 %。基本支出中，人员经费2335万元，占100 %；公用经费 0 万元，占 0 %。</w:t>
      </w:r>
    </w:p>
    <w:p>
      <w:pPr>
        <w:tabs>
          <w:tab w:val="left" w:pos="1200"/>
          <w:tab w:val="right" w:pos="8306"/>
        </w:tabs>
        <w:ind w:firstLine="630"/>
        <w:jc w:val="left"/>
        <w:rPr>
          <w:rFonts w:ascii="宋体"/>
          <w:sz w:val="32"/>
          <w:szCs w:val="32"/>
        </w:rPr>
      </w:pPr>
      <w:r>
        <w:rPr>
          <w:rFonts w:hint="eastAsia" w:ascii="宋体"/>
          <w:sz w:val="32"/>
          <w:szCs w:val="32"/>
        </w:rPr>
        <w:t>四、2021年财政拨款收支预算情况</w:t>
      </w:r>
    </w:p>
    <w:p>
      <w:pPr>
        <w:tabs>
          <w:tab w:val="left" w:pos="1200"/>
          <w:tab w:val="right" w:pos="8306"/>
        </w:tabs>
        <w:ind w:firstLine="630"/>
        <w:jc w:val="left"/>
        <w:rPr>
          <w:rFonts w:ascii="宋体"/>
          <w:sz w:val="32"/>
          <w:szCs w:val="32"/>
        </w:rPr>
      </w:pPr>
      <w:r>
        <w:rPr>
          <w:rFonts w:hint="eastAsia" w:ascii="宋体"/>
          <w:sz w:val="32"/>
          <w:szCs w:val="32"/>
        </w:rPr>
        <w:t>2021年财政拨款收支总预算2335 万元，其中：一般公共预算拨款2335万元。支出包括：一般公共服务支出1700万元，社会保障和就业支出375万元，住房公积金支出260 万元。</w:t>
      </w:r>
    </w:p>
    <w:p>
      <w:pPr>
        <w:tabs>
          <w:tab w:val="left" w:pos="1200"/>
          <w:tab w:val="right" w:pos="8306"/>
        </w:tabs>
        <w:ind w:firstLine="630"/>
        <w:jc w:val="left"/>
        <w:rPr>
          <w:rFonts w:ascii="宋体"/>
          <w:sz w:val="32"/>
          <w:szCs w:val="32"/>
        </w:rPr>
      </w:pPr>
      <w:r>
        <w:rPr>
          <w:rFonts w:hint="eastAsia" w:ascii="宋体"/>
          <w:sz w:val="32"/>
          <w:szCs w:val="32"/>
        </w:rPr>
        <w:t>五、2021年一般公共预算财政拨款情况</w:t>
      </w:r>
    </w:p>
    <w:p>
      <w:pPr>
        <w:tabs>
          <w:tab w:val="left" w:pos="1200"/>
          <w:tab w:val="right" w:pos="8306"/>
        </w:tabs>
        <w:ind w:firstLine="630"/>
        <w:jc w:val="left"/>
        <w:rPr>
          <w:rFonts w:ascii="宋体"/>
          <w:sz w:val="32"/>
          <w:szCs w:val="32"/>
        </w:rPr>
      </w:pPr>
      <w:r>
        <w:rPr>
          <w:rFonts w:hint="eastAsia" w:ascii="宋体"/>
          <w:sz w:val="32"/>
          <w:szCs w:val="32"/>
        </w:rPr>
        <w:t>2021年一般公共预算当年拨款2335 万元，其中：基本支出2335万元，占100%；项目支出0万元，占0%。基本支出中，人员经费2335万元，占 100 %；公用经费0万元，占0 %。</w:t>
      </w:r>
    </w:p>
    <w:p>
      <w:pPr>
        <w:tabs>
          <w:tab w:val="left" w:pos="1200"/>
          <w:tab w:val="right" w:pos="8306"/>
        </w:tabs>
        <w:ind w:firstLine="630"/>
        <w:jc w:val="left"/>
        <w:rPr>
          <w:rFonts w:ascii="宋体"/>
          <w:sz w:val="32"/>
          <w:szCs w:val="32"/>
        </w:rPr>
      </w:pPr>
      <w:r>
        <w:rPr>
          <w:rFonts w:hint="eastAsia" w:ascii="宋体"/>
          <w:sz w:val="32"/>
          <w:szCs w:val="32"/>
        </w:rPr>
        <w:t>2021年</w:t>
      </w:r>
      <w:r>
        <w:rPr>
          <w:rFonts w:ascii="宋体"/>
          <w:sz w:val="32"/>
          <w:szCs w:val="32"/>
        </w:rPr>
        <w:t>一般公</w:t>
      </w:r>
      <w:r>
        <w:rPr>
          <w:rFonts w:hint="eastAsia" w:ascii="宋体"/>
          <w:sz w:val="32"/>
          <w:szCs w:val="32"/>
        </w:rPr>
        <w:t>共</w:t>
      </w:r>
      <w:r>
        <w:rPr>
          <w:rFonts w:ascii="宋体"/>
          <w:sz w:val="32"/>
          <w:szCs w:val="32"/>
        </w:rPr>
        <w:t>预算拨款收入</w:t>
      </w:r>
      <w:r>
        <w:rPr>
          <w:rFonts w:hint="eastAsia" w:ascii="宋体"/>
          <w:sz w:val="32"/>
          <w:szCs w:val="32"/>
        </w:rPr>
        <w:t>2335万</w:t>
      </w:r>
      <w:r>
        <w:rPr>
          <w:rFonts w:ascii="宋体"/>
          <w:sz w:val="32"/>
          <w:szCs w:val="32"/>
        </w:rPr>
        <w:t>元，其中</w:t>
      </w:r>
      <w:r>
        <w:rPr>
          <w:rFonts w:hint="eastAsia" w:ascii="宋体"/>
          <w:sz w:val="32"/>
          <w:szCs w:val="32"/>
        </w:rPr>
        <w:t>，一般公共服务支出1700万元，占72.87%，社会保障和就业支出375万元，占16.07%，住房公积金支出260万元，占11.06%。</w:t>
      </w:r>
    </w:p>
    <w:p>
      <w:pPr>
        <w:tabs>
          <w:tab w:val="left" w:pos="1200"/>
          <w:tab w:val="right" w:pos="8306"/>
        </w:tabs>
        <w:ind w:firstLine="630"/>
        <w:jc w:val="left"/>
        <w:rPr>
          <w:rFonts w:ascii="宋体"/>
          <w:sz w:val="32"/>
          <w:szCs w:val="32"/>
        </w:rPr>
      </w:pPr>
      <w:r>
        <w:rPr>
          <w:rFonts w:hint="eastAsia" w:ascii="宋体"/>
          <w:sz w:val="32"/>
          <w:szCs w:val="32"/>
        </w:rPr>
        <w:t>六、2021年一般公共预算基本支出情况</w:t>
      </w:r>
    </w:p>
    <w:p>
      <w:pPr>
        <w:tabs>
          <w:tab w:val="left" w:pos="1200"/>
          <w:tab w:val="right" w:pos="8306"/>
        </w:tabs>
        <w:ind w:firstLine="630"/>
        <w:jc w:val="left"/>
        <w:rPr>
          <w:rFonts w:ascii="宋体"/>
          <w:sz w:val="32"/>
          <w:szCs w:val="32"/>
        </w:rPr>
      </w:pPr>
      <w:r>
        <w:rPr>
          <w:rFonts w:hint="eastAsia" w:ascii="宋体"/>
          <w:sz w:val="32"/>
          <w:szCs w:val="32"/>
        </w:rPr>
        <w:t>2021年一般公共预算基本支出2335万元，其中：人员经费2335万元，主要包括：基本工资、津贴补贴、奖金、绩效工资、住房公积金、退休费。</w:t>
      </w:r>
    </w:p>
    <w:p>
      <w:pPr>
        <w:tabs>
          <w:tab w:val="left" w:pos="1200"/>
          <w:tab w:val="right" w:pos="8306"/>
        </w:tabs>
        <w:ind w:firstLine="630"/>
        <w:jc w:val="left"/>
        <w:rPr>
          <w:rFonts w:ascii="宋体"/>
          <w:sz w:val="32"/>
          <w:szCs w:val="32"/>
        </w:rPr>
      </w:pPr>
      <w:r>
        <w:rPr>
          <w:rFonts w:hint="eastAsia" w:ascii="宋体"/>
          <w:sz w:val="32"/>
          <w:szCs w:val="32"/>
        </w:rPr>
        <w:t>公用经费0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七、2021年一般公共预算“三公”经费拨款情况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rPr>
        <w:t>2021年“三公”经费预算数为0万元，比2020年预算数减少0万元。其中：</w:t>
      </w:r>
    </w:p>
    <w:p>
      <w:pPr>
        <w:tabs>
          <w:tab w:val="left" w:pos="1200"/>
          <w:tab w:val="right" w:pos="8306"/>
        </w:tabs>
        <w:ind w:firstLine="630"/>
        <w:jc w:val="left"/>
        <w:rPr>
          <w:rFonts w:ascii="宋体"/>
          <w:sz w:val="32"/>
          <w:szCs w:val="32"/>
        </w:rPr>
      </w:pPr>
      <w:r>
        <w:rPr>
          <w:rFonts w:hint="eastAsia" w:ascii="宋体"/>
          <w:sz w:val="32"/>
          <w:szCs w:val="32"/>
        </w:rPr>
        <w:t>1、因公出国（境）费0万元，比2020年预算数增加（减少）0万元（或与2020年数持平），主要原因是        。</w:t>
      </w:r>
    </w:p>
    <w:p>
      <w:pPr>
        <w:tabs>
          <w:tab w:val="left" w:pos="1200"/>
          <w:tab w:val="right" w:pos="8306"/>
        </w:tabs>
        <w:ind w:firstLine="630"/>
        <w:jc w:val="left"/>
        <w:rPr>
          <w:rFonts w:ascii="宋体"/>
          <w:sz w:val="32"/>
          <w:szCs w:val="32"/>
        </w:rPr>
      </w:pPr>
      <w:r>
        <w:rPr>
          <w:rFonts w:hint="eastAsia" w:ascii="宋体"/>
          <w:sz w:val="32"/>
          <w:szCs w:val="32"/>
        </w:rPr>
        <w:t>2、公务接待费0万元，比2020年预算数增加（减少）    万元（或与2020年数持平），主要原因是        。</w:t>
      </w:r>
    </w:p>
    <w:p>
      <w:pPr>
        <w:tabs>
          <w:tab w:val="left" w:pos="1200"/>
          <w:tab w:val="right" w:pos="8306"/>
        </w:tabs>
        <w:ind w:firstLine="630"/>
        <w:jc w:val="left"/>
        <w:rPr>
          <w:rFonts w:ascii="宋体"/>
          <w:sz w:val="32"/>
          <w:szCs w:val="32"/>
        </w:rPr>
      </w:pPr>
      <w:r>
        <w:rPr>
          <w:rFonts w:hint="eastAsia" w:ascii="宋体"/>
          <w:sz w:val="32"/>
          <w:szCs w:val="32"/>
        </w:rPr>
        <w:t>3、公务用车购置及运行费0万元，比2020年预算数增加（减少）0万元（或与2020年数持平）。其中，公务用车运行维护费0万元，比2020年预算数增加（减少）0万元（或与2020年数持平），主要原因是        ；公务用车购置     万元，比2020年预算数增加（减少）0万元（或与2020年数持平），主要原因是           。</w:t>
      </w:r>
    </w:p>
    <w:p>
      <w:pPr>
        <w:tabs>
          <w:tab w:val="left" w:pos="1200"/>
          <w:tab w:val="right" w:pos="8306"/>
        </w:tabs>
        <w:ind w:firstLine="630"/>
        <w:jc w:val="left"/>
        <w:rPr>
          <w:rFonts w:ascii="宋体"/>
          <w:sz w:val="32"/>
          <w:szCs w:val="32"/>
        </w:rPr>
      </w:pPr>
      <w:r>
        <w:rPr>
          <w:rFonts w:hint="eastAsia" w:ascii="宋体"/>
          <w:sz w:val="32"/>
          <w:szCs w:val="32"/>
        </w:rPr>
        <w:t>八、2021年政府性基金预算支出情况</w:t>
      </w:r>
    </w:p>
    <w:p>
      <w:pPr>
        <w:tabs>
          <w:tab w:val="left" w:pos="1200"/>
          <w:tab w:val="right" w:pos="8306"/>
        </w:tabs>
        <w:ind w:firstLine="630"/>
        <w:jc w:val="left"/>
        <w:rPr>
          <w:rFonts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如果有政府性基金预算的单位，按如下格式：</w:t>
      </w:r>
    </w:p>
    <w:p>
      <w:pPr>
        <w:tabs>
          <w:tab w:val="left" w:pos="1200"/>
          <w:tab w:val="right" w:pos="8306"/>
        </w:tabs>
        <w:ind w:firstLine="630"/>
        <w:jc w:val="left"/>
        <w:rPr>
          <w:rFonts w:ascii="宋体"/>
          <w:sz w:val="32"/>
          <w:szCs w:val="32"/>
        </w:rPr>
      </w:pPr>
      <w:r>
        <w:rPr>
          <w:rFonts w:hint="eastAsia" w:ascii="宋体"/>
          <w:sz w:val="32"/>
          <w:szCs w:val="32"/>
        </w:rPr>
        <w:t>2021</w:t>
      </w:r>
      <w:r>
        <w:rPr>
          <w:rFonts w:ascii="宋体"/>
          <w:sz w:val="32"/>
          <w:szCs w:val="32"/>
        </w:rPr>
        <w:t>年政府性基金预算支出</w:t>
      </w:r>
      <w:r>
        <w:rPr>
          <w:rFonts w:hint="eastAsia" w:ascii="宋体"/>
          <w:sz w:val="32"/>
          <w:szCs w:val="32"/>
        </w:rPr>
        <w:t>0</w:t>
      </w:r>
      <w:r>
        <w:rPr>
          <w:rFonts w:ascii="宋体"/>
          <w:sz w:val="32"/>
          <w:szCs w:val="32"/>
        </w:rPr>
        <w:t>万元，其中：基本支出</w:t>
      </w:r>
      <w:r>
        <w:rPr>
          <w:rFonts w:hint="eastAsia" w:ascii="宋体"/>
          <w:sz w:val="32"/>
          <w:szCs w:val="32"/>
        </w:rPr>
        <w:t xml:space="preserve">0   </w:t>
      </w:r>
      <w:r>
        <w:rPr>
          <w:rFonts w:ascii="宋体"/>
          <w:sz w:val="32"/>
          <w:szCs w:val="32"/>
        </w:rPr>
        <w:t xml:space="preserve"> 万元，占</w:t>
      </w:r>
      <w:r>
        <w:rPr>
          <w:rFonts w:hint="eastAsia" w:ascii="宋体"/>
          <w:sz w:val="32"/>
          <w:szCs w:val="32"/>
        </w:rPr>
        <w:t xml:space="preserve">0 </w:t>
      </w:r>
      <w:r>
        <w:rPr>
          <w:rFonts w:ascii="宋体"/>
          <w:sz w:val="32"/>
          <w:szCs w:val="32"/>
        </w:rPr>
        <w:t>%；项目支出</w:t>
      </w:r>
      <w:r>
        <w:rPr>
          <w:rFonts w:hint="eastAsia" w:ascii="宋体"/>
          <w:sz w:val="32"/>
          <w:szCs w:val="32"/>
        </w:rPr>
        <w:t>0</w:t>
      </w:r>
      <w:r>
        <w:rPr>
          <w:rFonts w:ascii="宋体"/>
          <w:sz w:val="32"/>
          <w:szCs w:val="32"/>
        </w:rPr>
        <w:t>万元，占</w:t>
      </w:r>
      <w:r>
        <w:rPr>
          <w:rFonts w:hint="eastAsia" w:ascii="宋体"/>
          <w:sz w:val="32"/>
          <w:szCs w:val="32"/>
        </w:rPr>
        <w:t>0</w:t>
      </w:r>
      <w:r>
        <w:rPr>
          <w:rFonts w:ascii="宋体"/>
          <w:sz w:val="32"/>
          <w:szCs w:val="32"/>
        </w:rPr>
        <w:t>%。 基本支出中，人员经费</w:t>
      </w:r>
      <w:r>
        <w:rPr>
          <w:rFonts w:hint="eastAsia" w:ascii="宋体"/>
          <w:sz w:val="32"/>
          <w:szCs w:val="32"/>
        </w:rPr>
        <w:t>0</w:t>
      </w:r>
      <w:r>
        <w:rPr>
          <w:rFonts w:ascii="宋体"/>
          <w:sz w:val="32"/>
          <w:szCs w:val="32"/>
        </w:rPr>
        <w:t>万元，占</w:t>
      </w:r>
      <w:r>
        <w:rPr>
          <w:rFonts w:hint="eastAsia" w:ascii="宋体"/>
          <w:sz w:val="32"/>
          <w:szCs w:val="32"/>
        </w:rPr>
        <w:t>0</w:t>
      </w:r>
      <w:r>
        <w:rPr>
          <w:rFonts w:ascii="宋体"/>
          <w:sz w:val="32"/>
          <w:szCs w:val="32"/>
        </w:rPr>
        <w:t>%；公用经费</w:t>
      </w:r>
      <w:r>
        <w:rPr>
          <w:rFonts w:hint="eastAsia" w:ascii="宋体"/>
          <w:sz w:val="32"/>
          <w:szCs w:val="32"/>
        </w:rPr>
        <w:t>0万元，占0 %。</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rPr>
        <w:t>2021年部门本级共 1 家行政单位，机关运行经费财政拨款预算0万元，比2021年预算增加0万元，增长0 %。主要原因是：   。</w:t>
      </w:r>
    </w:p>
    <w:p>
      <w:pPr>
        <w:ind w:firstLine="480" w:firstLineChars="150"/>
        <w:rPr>
          <w:rFonts w:ascii="宋体"/>
          <w:sz w:val="32"/>
          <w:szCs w:val="32"/>
        </w:rPr>
      </w:pPr>
      <w:r>
        <w:rPr>
          <w:rFonts w:hint="eastAsia" w:ascii="宋体"/>
          <w:sz w:val="32"/>
          <w:szCs w:val="32"/>
        </w:rPr>
        <w:t>（二）政府采购情况</w:t>
      </w:r>
    </w:p>
    <w:p>
      <w:pPr>
        <w:ind w:firstLine="645"/>
        <w:rPr>
          <w:rFonts w:ascii="宋体"/>
          <w:sz w:val="32"/>
          <w:szCs w:val="32"/>
        </w:rPr>
      </w:pPr>
      <w:r>
        <w:rPr>
          <w:rFonts w:hint="eastAsia" w:ascii="宋体"/>
          <w:sz w:val="32"/>
          <w:szCs w:val="32"/>
        </w:rPr>
        <w:t>2021年政府采购预算总额0万元，其中：政府采购货物预算0万元，政府采购工作预算0万元，政府采购服务预算0   万元。</w:t>
      </w:r>
    </w:p>
    <w:p>
      <w:pPr>
        <w:rPr>
          <w:rFonts w:ascii="宋体"/>
          <w:sz w:val="32"/>
          <w:szCs w:val="32"/>
        </w:rPr>
      </w:pPr>
      <w:r>
        <w:rPr>
          <w:rFonts w:hint="eastAsia" w:ascii="宋体"/>
          <w:sz w:val="32"/>
          <w:szCs w:val="32"/>
        </w:rPr>
        <w:t xml:space="preserve">   （三）国有资产占有使用情况</w:t>
      </w:r>
    </w:p>
    <w:p>
      <w:pPr>
        <w:ind w:firstLine="480" w:firstLineChars="150"/>
        <w:rPr>
          <w:rFonts w:ascii="宋体"/>
          <w:sz w:val="32"/>
          <w:szCs w:val="32"/>
        </w:rPr>
      </w:pPr>
      <w:r>
        <w:rPr>
          <w:rFonts w:hint="eastAsia" w:ascii="宋体"/>
          <w:sz w:val="32"/>
          <w:szCs w:val="32"/>
        </w:rPr>
        <w:t>截止至2020年12月31日，部门本级和所属各预算单位共有车辆 0辆，其中，领导干部用车0辆、一般公务用车0辆、一般执法执勤用车0辆、特种专业技术用车0辆、其他用车0辆。单位价值50万元以上通用设备0台（套），单位价值100万元以上专用设备0台（套）。</w:t>
      </w:r>
    </w:p>
    <w:p>
      <w:pPr>
        <w:ind w:firstLine="480" w:firstLineChars="150"/>
        <w:rPr>
          <w:rFonts w:ascii="宋体"/>
          <w:sz w:val="32"/>
          <w:szCs w:val="32"/>
        </w:rPr>
      </w:pPr>
      <w:r>
        <w:rPr>
          <w:rFonts w:hint="eastAsia" w:ascii="宋体"/>
          <w:sz w:val="32"/>
          <w:szCs w:val="32"/>
        </w:rPr>
        <w:t>（四）项目支出绩效目标情况说明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按照全面实施预算绩效管理的要求，结合本部门职能和重点工作，2021年确定0个项目支出的绩效目标和指标，涉及金额0万元。</w:t>
      </w:r>
    </w:p>
    <w:p>
      <w:pPr>
        <w:tabs>
          <w:tab w:val="left" w:pos="710"/>
        </w:tabs>
        <w:rPr>
          <w:rFonts w:ascii="宋体"/>
          <w:sz w:val="32"/>
          <w:szCs w:val="32"/>
        </w:rPr>
      </w:pPr>
    </w:p>
    <w:p>
      <w:pPr>
        <w:tabs>
          <w:tab w:val="left" w:pos="710"/>
        </w:tabs>
        <w:rPr>
          <w:rFonts w:ascii="宋体"/>
          <w:sz w:val="32"/>
          <w:szCs w:val="32"/>
        </w:rPr>
      </w:pP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r>
        <w:rPr>
          <w:rFonts w:ascii="宋体"/>
          <w:sz w:val="32"/>
          <w:szCs w:val="32"/>
        </w:rPr>
        <w:t>                                                                                                                                                             </w:t>
      </w: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9"/>
      <w:numFmt w:val="decimal"/>
      <w:lvlText w:val="%2、"/>
      <w:lvlJc w:val="left"/>
      <w:pPr>
        <w:ind w:left="1140" w:hanging="720"/>
      </w:pPr>
      <w:rPr>
        <w:rFonts w:hint="default"/>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571"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842E4E"/>
    <w:rsid w:val="00050244"/>
    <w:rsid w:val="000D0996"/>
    <w:rsid w:val="000F6921"/>
    <w:rsid w:val="00126E18"/>
    <w:rsid w:val="00215DCC"/>
    <w:rsid w:val="0022247F"/>
    <w:rsid w:val="0054265C"/>
    <w:rsid w:val="005B0F8E"/>
    <w:rsid w:val="007667D2"/>
    <w:rsid w:val="00802181"/>
    <w:rsid w:val="00842E4E"/>
    <w:rsid w:val="008776C2"/>
    <w:rsid w:val="00AA53B7"/>
    <w:rsid w:val="00AD78D1"/>
    <w:rsid w:val="00AF2493"/>
    <w:rsid w:val="00C657D3"/>
    <w:rsid w:val="00D210EB"/>
    <w:rsid w:val="00EC160E"/>
    <w:rsid w:val="5B192C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列出段落1"/>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w:basedOn w:val="6"/>
    <w:link w:val="5"/>
    <w:uiPriority w:val="99"/>
    <w:rPr>
      <w:rFonts w:cs="Times New Roman"/>
      <w:sz w:val="18"/>
      <w:szCs w:val="18"/>
    </w:rPr>
  </w:style>
  <w:style w:type="character" w:customStyle="1" w:styleId="11">
    <w:name w:val="页脚 Char"/>
    <w:basedOn w:val="6"/>
    <w:link w:val="4"/>
    <w:uiPriority w:val="99"/>
    <w:rPr>
      <w:rFonts w:cs="Times New Roman"/>
      <w:sz w:val="18"/>
      <w:szCs w:val="18"/>
    </w:rPr>
  </w:style>
  <w:style w:type="character" w:customStyle="1" w:styleId="12">
    <w:name w:val="日期 Char"/>
    <w:basedOn w:val="6"/>
    <w:link w:val="3"/>
    <w:uiPriority w:val="99"/>
    <w:rPr>
      <w:rFonts w:cs="Times New Roman"/>
    </w:rPr>
  </w:style>
  <w:style w:type="character" w:customStyle="1" w:styleId="13">
    <w:name w:val="标题 5 Char"/>
    <w:basedOn w:val="6"/>
    <w:link w:val="2"/>
    <w:uiPriority w:val="9"/>
    <w:rPr>
      <w:rFonts w:ascii="宋体" w:hAnsi="宋体" w:cs="宋体"/>
      <w:b/>
      <w:bCs/>
    </w:rPr>
  </w:style>
  <w:style w:type="paragraph" w:customStyle="1" w:styleId="14">
    <w:name w:val="p0"/>
    <w:basedOn w:val="1"/>
    <w:uiPriority w:val="0"/>
    <w:pPr>
      <w:widowControl/>
    </w:pPr>
    <w:rPr>
      <w:rFonts w:ascii="Times New Roman" w:hAnsi="Times New Roman"/>
      <w:kern w:val="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8A2D2F-44E6-4567-A0BD-7301C2C5DC3C}">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647</Words>
  <Characters>3690</Characters>
  <Lines>30</Lines>
  <Paragraphs>8</Paragraphs>
  <TotalTime>2</TotalTime>
  <ScaleCrop>false</ScaleCrop>
  <LinksUpToDate>false</LinksUpToDate>
  <CharactersWithSpaces>4329</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2022-09-09T10:39:00Z</dcterms:created>
  <dc:creator>Administrator</dc:creator>
  <cp:lastModifiedBy>Administrator</cp:lastModifiedBy>
  <cp:lastPrinted>2019-04-13T09:33:00Z</cp:lastPrinted>
  <dcterms:modified xsi:type="dcterms:W3CDTF">2024-01-04T01:45:00Z</dcterms:modified>
  <dc:title>梨树县XXX局</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